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2977"/>
      </w:tblGrid>
      <w:tr w:rsidR="006D3258" w:rsidRPr="007E7D40" w:rsidTr="006D3258">
        <w:tc>
          <w:tcPr>
            <w:tcW w:w="7933" w:type="dxa"/>
          </w:tcPr>
          <w:p w:rsidR="006D3258" w:rsidRPr="007E7D40" w:rsidRDefault="006D3258" w:rsidP="006D67FF">
            <w:pPr>
              <w:spacing w:before="120" w:after="6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40"/>
                <w:szCs w:val="40"/>
                <w:lang w:val="ru-RU"/>
              </w:rPr>
              <w:t>Приемная квитанция</w:t>
            </w:r>
          </w:p>
          <w:p w:rsidR="006D3258" w:rsidRPr="00A13D0C" w:rsidRDefault="006D3258" w:rsidP="006D67FF">
            <w:pPr>
              <w:tabs>
                <w:tab w:val="left" w:pos="1574"/>
                <w:tab w:val="left" w:pos="2773"/>
              </w:tabs>
              <w:spacing w:before="120" w:after="120"/>
              <w:ind w:left="113" w:right="113"/>
              <w:rPr>
                <w:rFonts w:ascii="Arial" w:hAnsi="Arial" w:cs="Arial"/>
                <w:sz w:val="20"/>
                <w:lang w:val="ru-RU"/>
              </w:rPr>
            </w:pPr>
            <w:r w:rsidRPr="007E7D40">
              <w:rPr>
                <w:rFonts w:ascii="Arial" w:hAnsi="Arial" w:cs="Arial" w:hint="cs"/>
                <w:spacing w:val="-4"/>
                <w:sz w:val="20"/>
              </w:rPr>
              <w:t xml:space="preserve">Заказ </w:t>
            </w:r>
            <w:r w:rsidRPr="007E7D40">
              <w:rPr>
                <w:rFonts w:ascii="Arial" w:hAnsi="Arial" w:cs="Arial" w:hint="cs"/>
                <w:sz w:val="20"/>
              </w:rPr>
              <w:t xml:space="preserve">№ </w:t>
            </w:r>
            <w:r w:rsidRPr="007E7D40">
              <w:rPr>
                <w:rFonts w:ascii="Arial" w:hAnsi="Arial" w:cs="Arial" w:hint="cs"/>
                <w:sz w:val="20"/>
                <w:u w:val="single"/>
              </w:rPr>
              <w:tab/>
            </w:r>
            <w:r w:rsidRPr="007E7D40">
              <w:rPr>
                <w:rFonts w:ascii="Arial" w:hAnsi="Arial" w:cs="Arial" w:hint="cs"/>
                <w:sz w:val="20"/>
              </w:rPr>
              <w:t xml:space="preserve">от </w:t>
            </w:r>
            <w:r w:rsidRPr="007E7D40">
              <w:rPr>
                <w:rFonts w:ascii="Arial" w:hAnsi="Arial" w:cs="Arial" w:hint="cs"/>
                <w:sz w:val="20"/>
                <w:u w:val="single"/>
              </w:rPr>
              <w:tab/>
            </w:r>
          </w:p>
        </w:tc>
        <w:tc>
          <w:tcPr>
            <w:tcW w:w="2977" w:type="dxa"/>
          </w:tcPr>
          <w:p w:rsidR="006D3258" w:rsidRPr="007E7D40" w:rsidRDefault="006D3258" w:rsidP="006D3258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Укажите название вашей компании, адрес и номер телефона</w:t>
            </w:r>
          </w:p>
        </w:tc>
      </w:tr>
    </w:tbl>
    <w:p w:rsidR="004753EA" w:rsidRPr="007E7D40" w:rsidRDefault="004753EA">
      <w:pPr>
        <w:rPr>
          <w:rFonts w:ascii="Arial" w:hAnsi="Arial" w:cs="Arial"/>
          <w:b/>
          <w:bCs/>
          <w:sz w:val="10"/>
          <w:szCs w:val="10"/>
          <w:lang w:val="ru-RU"/>
        </w:rPr>
      </w:pPr>
    </w:p>
    <w:tbl>
      <w:tblPr>
        <w:tblStyle w:val="ac"/>
        <w:tblW w:w="10910" w:type="dxa"/>
        <w:tblLayout w:type="fixed"/>
        <w:tblLook w:val="04A0" w:firstRow="1" w:lastRow="0" w:firstColumn="1" w:lastColumn="0" w:noHBand="0" w:noVBand="1"/>
      </w:tblPr>
      <w:tblGrid>
        <w:gridCol w:w="2689"/>
        <w:gridCol w:w="5244"/>
        <w:gridCol w:w="2977"/>
      </w:tblGrid>
      <w:tr w:rsidR="00083BFF" w:rsidRPr="007E7D40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Клиент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Имя клиента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sz w:val="20"/>
              </w:rPr>
              <w:t>Наведите</w:t>
            </w:r>
            <w:r w:rsidRPr="007E7D40">
              <w:rPr>
                <w:rFonts w:ascii="Arial" w:hAnsi="Arial" w:cs="Arial" w:hint="cs"/>
                <w:spacing w:val="-14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камеру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на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QR-код, чтобы</w:t>
            </w:r>
            <w:r w:rsidRPr="007E7D40">
              <w:rPr>
                <w:rFonts w:ascii="Arial" w:hAnsi="Arial" w:cs="Arial" w:hint="cs"/>
                <w:spacing w:val="-9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узнать</w:t>
            </w:r>
            <w:r w:rsidRPr="007E7D40">
              <w:rPr>
                <w:rFonts w:ascii="Arial" w:hAnsi="Arial" w:cs="Arial" w:hint="cs"/>
                <w:spacing w:val="-9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статус</w:t>
            </w:r>
            <w:r w:rsidRPr="007E7D40">
              <w:rPr>
                <w:rFonts w:ascii="Arial" w:hAnsi="Arial" w:cs="Arial" w:hint="cs"/>
                <w:spacing w:val="-9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pacing w:val="-2"/>
                <w:sz w:val="20"/>
              </w:rPr>
              <w:t>заказа</w:t>
            </w:r>
          </w:p>
        </w:tc>
      </w:tr>
      <w:tr w:rsidR="00083BFF" w:rsidRPr="00E90837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Устройство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Устройство клиента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 xml:space="preserve">Зарегитрируйтесь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в HelloClient и </w:t>
            </w: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 xml:space="preserve">используйте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виджет </w:t>
            </w:r>
            <w:r w:rsidRPr="007E7D40">
              <w:rPr>
                <w:rFonts w:ascii="Arial" w:hAnsi="Arial" w:cs="Arial" w:hint="cs"/>
                <w:b/>
                <w:bCs/>
                <w:i/>
                <w:color w:val="205C86"/>
                <w:sz w:val="20"/>
              </w:rPr>
              <w:t>"Статус заказа",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 либо удалите данный </w:t>
            </w: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>столбец</w:t>
            </w:r>
          </w:p>
        </w:tc>
      </w:tr>
      <w:tr w:rsidR="00083BFF" w:rsidRPr="007E7D40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Внешний вид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Описание внешнего вида</w:t>
            </w:r>
          </w:p>
        </w:tc>
        <w:tc>
          <w:tcPr>
            <w:tcW w:w="2977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083BFF" w:rsidRPr="007E7D40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Комплектация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Комплектация (зарядное и т.д.)</w:t>
            </w:r>
          </w:p>
        </w:tc>
        <w:tc>
          <w:tcPr>
            <w:tcW w:w="2977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083BFF" w:rsidRPr="007E7D40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Неисправность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Причина обращения</w:t>
            </w:r>
          </w:p>
        </w:tc>
        <w:tc>
          <w:tcPr>
            <w:tcW w:w="2977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083BFF" w:rsidRPr="007E7D40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Ориентировочная дата готовности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Укажите примерную дату готовности</w:t>
            </w:r>
          </w:p>
        </w:tc>
        <w:tc>
          <w:tcPr>
            <w:tcW w:w="2977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083BFF" w:rsidRPr="00A13D0C" w:rsidRDefault="00083BFF" w:rsidP="00A13D0C">
      <w:pPr>
        <w:spacing w:after="0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83BFF" w:rsidRPr="007E7D40" w:rsidRDefault="00083BFF" w:rsidP="00083BFF">
      <w:pPr>
        <w:ind w:left="121"/>
        <w:rPr>
          <w:rFonts w:ascii="Arial" w:hAnsi="Arial" w:cs="Arial"/>
          <w:b/>
          <w:sz w:val="20"/>
          <w:lang w:val="ru-RU"/>
        </w:rPr>
      </w:pPr>
      <w:r w:rsidRPr="007E7D40">
        <w:rPr>
          <w:rFonts w:ascii="Arial" w:hAnsi="Arial" w:cs="Arial" w:hint="cs"/>
          <w:b/>
          <w:sz w:val="20"/>
        </w:rPr>
        <w:t>Условия</w:t>
      </w:r>
      <w:r w:rsidRPr="007E7D40">
        <w:rPr>
          <w:rFonts w:ascii="Arial" w:hAnsi="Arial" w:cs="Arial" w:hint="cs"/>
          <w:b/>
          <w:spacing w:val="-10"/>
          <w:sz w:val="20"/>
        </w:rPr>
        <w:t xml:space="preserve"> </w:t>
      </w:r>
      <w:r w:rsidRPr="007E7D40">
        <w:rPr>
          <w:rFonts w:ascii="Arial" w:hAnsi="Arial" w:cs="Arial" w:hint="cs"/>
          <w:b/>
          <w:sz w:val="20"/>
        </w:rPr>
        <w:t>оказания</w:t>
      </w:r>
      <w:r w:rsidRPr="007E7D40">
        <w:rPr>
          <w:rFonts w:ascii="Arial" w:hAnsi="Arial" w:cs="Arial" w:hint="cs"/>
          <w:b/>
          <w:spacing w:val="-9"/>
          <w:sz w:val="20"/>
        </w:rPr>
        <w:t xml:space="preserve"> </w:t>
      </w:r>
      <w:r w:rsidRPr="007E7D40">
        <w:rPr>
          <w:rFonts w:ascii="Arial" w:hAnsi="Arial" w:cs="Arial" w:hint="cs"/>
          <w:b/>
          <w:spacing w:val="-2"/>
          <w:sz w:val="20"/>
        </w:rPr>
        <w:t>услуг:</w:t>
      </w:r>
      <w:r w:rsidRPr="007E7D40">
        <w:rPr>
          <w:rFonts w:ascii="Arial" w:hAnsi="Arial" w:cs="Arial" w:hint="cs"/>
          <w:b/>
          <w:spacing w:val="-2"/>
          <w:sz w:val="20"/>
          <w:lang w:val="ru-RU"/>
        </w:rPr>
        <w:t xml:space="preserve"> </w:t>
      </w:r>
      <w:r w:rsidRPr="007E7D40">
        <w:rPr>
          <w:rFonts w:ascii="Arial" w:hAnsi="Arial" w:cs="Arial" w:hint="cs"/>
          <w:b/>
          <w:i/>
          <w:iCs/>
          <w:color w:val="215E99" w:themeColor="text2" w:themeTint="BF"/>
          <w:spacing w:val="-2"/>
          <w:sz w:val="20"/>
          <w:lang w:val="ru-RU"/>
        </w:rPr>
        <w:t>(здесь указаны условия для примера, вы можете вставить свои)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319" w:lineRule="auto"/>
        <w:ind w:left="121" w:right="512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Клиент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принимает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себя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риск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возможной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полной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или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частичной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утраты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работоспособности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устройства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процессе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ремонта,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случае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 xml:space="preserve">грубых нарушений пользователем условий эксплуатации, наличии следов попадания токопроводящей жидкости (коррозии) либо механических </w:t>
      </w:r>
      <w:r w:rsidRPr="007E7D40">
        <w:rPr>
          <w:rFonts w:ascii="Arial" w:hAnsi="Arial" w:cs="Arial" w:hint="cs"/>
          <w:spacing w:val="-2"/>
          <w:sz w:val="16"/>
        </w:rPr>
        <w:t>повреждений.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179" w:lineRule="exact"/>
        <w:ind w:left="142" w:hanging="21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Сервисный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центр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несет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ответственности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возможную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потерю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данных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памяти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устройства,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а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также,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оставленные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Sim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Flash-</w:t>
      </w:r>
      <w:r w:rsidRPr="007E7D40">
        <w:rPr>
          <w:rFonts w:ascii="Arial" w:hAnsi="Arial" w:cs="Arial" w:hint="cs"/>
          <w:spacing w:val="-2"/>
          <w:sz w:val="16"/>
        </w:rPr>
        <w:t>карты.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319" w:lineRule="auto"/>
        <w:ind w:left="121" w:right="354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Аппарат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Клиента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принимается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ответственное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хранение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весь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срок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обслуживания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(включая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диагностику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ремонт).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Срок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хранения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аппарата 30 дней с ориентировочной даты готовности. После данного срока аппарат утилизируется и претензии по нему не принимаются.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319" w:lineRule="auto"/>
        <w:ind w:left="121" w:right="1116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Исполнитель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обязуется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произвести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диагностику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ремонт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исключительно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заявленной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Клиентом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неисправности.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Время,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отведенное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 диагностику и ремонт аппарата, целиком зависит от загруженности Исполнителя и определяется после проведения диагностики.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179" w:lineRule="exact"/>
        <w:ind w:left="297" w:hanging="176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случае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утери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квитанции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устройство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выдается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предъявлению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паспорта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заказчика.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319" w:lineRule="auto"/>
        <w:ind w:left="121" w:right="483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случае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отсутствия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запчастей,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материалов,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тех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документации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т.д.,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Исполнитель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вправе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одностороннем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порядке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отказаться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 xml:space="preserve">проведения </w:t>
      </w:r>
      <w:r w:rsidRPr="007E7D40">
        <w:rPr>
          <w:rFonts w:ascii="Arial" w:hAnsi="Arial" w:cs="Arial" w:hint="cs"/>
          <w:spacing w:val="-2"/>
          <w:sz w:val="16"/>
        </w:rPr>
        <w:t>ремонта.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179" w:lineRule="exact"/>
        <w:ind w:left="142" w:hanging="21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pacing w:val="-2"/>
          <w:sz w:val="16"/>
        </w:rPr>
        <w:t>Клиент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должен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ознакомиться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с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прейскурантом</w:t>
      </w:r>
      <w:r w:rsidRPr="007E7D40">
        <w:rPr>
          <w:rFonts w:ascii="Arial" w:hAnsi="Arial" w:cs="Arial" w:hint="cs"/>
          <w:spacing w:val="4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Исполнителя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до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заключения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настоящего</w:t>
      </w:r>
      <w:r w:rsidRPr="007E7D40">
        <w:rPr>
          <w:rFonts w:ascii="Arial" w:hAnsi="Arial" w:cs="Arial" w:hint="cs"/>
          <w:spacing w:val="4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Договора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и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при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необходимости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уточнить</w:t>
      </w:r>
      <w:r w:rsidRPr="007E7D40">
        <w:rPr>
          <w:rFonts w:ascii="Arial" w:hAnsi="Arial" w:cs="Arial" w:hint="cs"/>
          <w:spacing w:val="4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стоимость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услуг.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319" w:lineRule="auto"/>
        <w:ind w:left="121" w:right="373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При приемке оговариваются только приблизительная стоимость и срок ремонта. Они могут быть пересмотрены досрочно в случаях, если потребуются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дополнительные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работы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материалы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для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устранения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заявленной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квитанции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неисправности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и/или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обнаружении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Исполнителем дефектов,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указанных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Клиентом.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А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также,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при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изменении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сроков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поставки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цен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комплектующие.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такой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ситуации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Исполнитель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должен известить Клиента об изменении стоимости и срока ремонта. В случае отказа, Клиент оплачивает стоимость уже выполненных работ и использованных запчастей либо стоимость консультации (если ремонтные работы еще не проводились).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177" w:lineRule="exact"/>
        <w:ind w:left="297" w:hanging="176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Гарантия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распространяется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только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деталь,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которую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заменили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или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отремонтировали.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spacing w:after="0" w:line="319" w:lineRule="auto"/>
        <w:ind w:left="121" w:right="270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Заказчик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согласен,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что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все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неисправности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внутренние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повреждения,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обнаруженные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оборудовании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техническом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обслуживании,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возникли до сдачи оборудования.</w:t>
      </w:r>
    </w:p>
    <w:p w:rsidR="00083BFF" w:rsidRPr="00A13D0C" w:rsidRDefault="00083BFF" w:rsidP="00A13D0C">
      <w:pPr>
        <w:widowControl w:val="0"/>
        <w:tabs>
          <w:tab w:val="left" w:pos="386"/>
        </w:tabs>
        <w:autoSpaceDE w:val="0"/>
        <w:autoSpaceDN w:val="0"/>
        <w:spacing w:after="0" w:line="319" w:lineRule="auto"/>
        <w:ind w:left="121" w:right="270"/>
        <w:rPr>
          <w:rFonts w:ascii="Arial" w:hAnsi="Arial" w:cs="Arial"/>
          <w:sz w:val="16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069"/>
      </w:tblGrid>
      <w:tr w:rsidR="00083BFF" w:rsidRPr="007E7D40" w:rsidTr="006D67FF">
        <w:tc>
          <w:tcPr>
            <w:tcW w:w="5387" w:type="dxa"/>
            <w:tcMar>
              <w:top w:w="0" w:type="dxa"/>
              <w:bottom w:w="0" w:type="dxa"/>
            </w:tcMar>
          </w:tcPr>
          <w:p w:rsidR="00083BFF" w:rsidRPr="007E7D40" w:rsidRDefault="00083BFF" w:rsidP="00A13D0C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sz w:val="20"/>
              </w:rPr>
              <w:t>Менеджер</w:t>
            </w:r>
            <w:r w:rsidRPr="007E7D40">
              <w:rPr>
                <w:rFonts w:ascii="Arial" w:hAnsi="Arial" w:cs="Arial" w:hint="cs"/>
                <w:sz w:val="20"/>
              </w:rPr>
              <w:t>:</w:t>
            </w:r>
            <w:r w:rsidR="007E7D40">
              <w:rPr>
                <w:rFonts w:ascii="Arial" w:hAnsi="Arial" w:cs="Arial"/>
                <w:sz w:val="20"/>
                <w:lang w:val="ru-RU"/>
              </w:rPr>
              <w:t xml:space="preserve"> ____________________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>Укажите менеджера по заказу</w:t>
            </w:r>
          </w:p>
        </w:tc>
        <w:tc>
          <w:tcPr>
            <w:tcW w:w="5069" w:type="dxa"/>
            <w:vMerge w:val="restart"/>
            <w:tcMar>
              <w:top w:w="0" w:type="dxa"/>
              <w:bottom w:w="0" w:type="dxa"/>
            </w:tcMar>
          </w:tcPr>
          <w:p w:rsidR="007E7D40" w:rsidRDefault="00083BFF" w:rsidP="00A13D0C">
            <w:pPr>
              <w:rPr>
                <w:rFonts w:ascii="Arial" w:hAnsi="Arial" w:cs="Arial"/>
                <w:i/>
                <w:color w:val="205C86"/>
                <w:sz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sz w:val="20"/>
              </w:rPr>
              <w:t>Заказчик</w:t>
            </w:r>
            <w:r w:rsidRPr="007E7D40">
              <w:rPr>
                <w:rFonts w:ascii="Arial" w:hAnsi="Arial" w:cs="Arial" w:hint="cs"/>
                <w:sz w:val="20"/>
              </w:rPr>
              <w:t xml:space="preserve">: </w:t>
            </w:r>
            <w:r w:rsidR="007E7D40" w:rsidRPr="007E7D40">
              <w:rPr>
                <w:rFonts w:ascii="Arial" w:hAnsi="Arial" w:cs="Arial"/>
                <w:sz w:val="20"/>
                <w:lang w:val="ru-RU"/>
              </w:rPr>
              <w:t xml:space="preserve">_________________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>Укажите</w:t>
            </w:r>
            <w:r w:rsidRPr="007E7D40">
              <w:rPr>
                <w:rFonts w:ascii="Arial" w:hAnsi="Arial" w:cs="Arial" w:hint="cs"/>
                <w:i/>
                <w:color w:val="205C86"/>
                <w:spacing w:val="-14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клиента </w:t>
            </w:r>
          </w:p>
          <w:p w:rsidR="00083BFF" w:rsidRPr="007E7D40" w:rsidRDefault="00083BFF" w:rsidP="00A13D0C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sz w:val="20"/>
              </w:rPr>
              <w:t>с</w:t>
            </w:r>
            <w:r w:rsidRPr="007E7D40">
              <w:rPr>
                <w:rFonts w:ascii="Arial" w:hAnsi="Arial" w:cs="Arial" w:hint="cs"/>
                <w:spacing w:val="-14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условиями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оказания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услуг ознакомлен и согласен</w:t>
            </w:r>
          </w:p>
        </w:tc>
      </w:tr>
      <w:tr w:rsidR="00083BFF" w:rsidTr="006D67FF">
        <w:tc>
          <w:tcPr>
            <w:tcW w:w="5387" w:type="dxa"/>
            <w:tcMar>
              <w:top w:w="0" w:type="dxa"/>
              <w:bottom w:w="0" w:type="dxa"/>
            </w:tcMar>
          </w:tcPr>
          <w:p w:rsidR="00083BFF" w:rsidRPr="007E7D40" w:rsidRDefault="00083BFF" w:rsidP="006D3258">
            <w:pPr>
              <w:tabs>
                <w:tab w:val="left" w:pos="1631"/>
              </w:tabs>
              <w:spacing w:before="240"/>
              <w:rPr>
                <w:rFonts w:ascii="Arial" w:hAnsi="Arial" w:cs="Arial"/>
                <w:sz w:val="20"/>
                <w:lang w:val="ru-RU"/>
              </w:rPr>
            </w:pPr>
            <w:r w:rsidRPr="00083BFF">
              <w:rPr>
                <w:rFonts w:ascii="Arial" w:hAnsi="Arial" w:cs="Arial" w:hint="cs"/>
                <w:b/>
                <w:sz w:val="20"/>
              </w:rPr>
              <w:t>Дата</w:t>
            </w:r>
            <w:r w:rsidRPr="00083BFF">
              <w:rPr>
                <w:rFonts w:ascii="Arial" w:hAnsi="Arial" w:cs="Arial" w:hint="cs"/>
                <w:sz w:val="20"/>
              </w:rPr>
              <w:t>:</w:t>
            </w:r>
            <w:r w:rsidR="007E7D40">
              <w:rPr>
                <w:rFonts w:ascii="Arial" w:hAnsi="Arial" w:cs="Arial"/>
                <w:sz w:val="20"/>
                <w:lang w:val="ru-RU"/>
              </w:rPr>
              <w:t xml:space="preserve"> _________________</w:t>
            </w:r>
          </w:p>
        </w:tc>
        <w:tc>
          <w:tcPr>
            <w:tcW w:w="5069" w:type="dxa"/>
            <w:vMerge/>
            <w:tcMar>
              <w:top w:w="0" w:type="dxa"/>
              <w:bottom w:w="0" w:type="dxa"/>
            </w:tcMar>
          </w:tcPr>
          <w:p w:rsidR="00083BFF" w:rsidRPr="00083BFF" w:rsidRDefault="00083BFF" w:rsidP="00A13D0C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A13D0C" w:rsidRPr="00A13D0C" w:rsidRDefault="00A13D0C" w:rsidP="006D3258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sectPr w:rsidR="00A13D0C" w:rsidRPr="00A13D0C" w:rsidSect="00E908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05ABB"/>
    <w:multiLevelType w:val="hybridMultilevel"/>
    <w:tmpl w:val="E3CE1284"/>
    <w:lvl w:ilvl="0" w:tplc="B4BC3880">
      <w:start w:val="1"/>
      <w:numFmt w:val="decimal"/>
      <w:lvlText w:val="%1."/>
      <w:lvlJc w:val="left"/>
      <w:pPr>
        <w:ind w:left="122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F5ECFB0">
      <w:numFmt w:val="bullet"/>
      <w:lvlText w:val="•"/>
      <w:lvlJc w:val="left"/>
      <w:pPr>
        <w:ind w:left="1255" w:hanging="178"/>
      </w:pPr>
      <w:rPr>
        <w:rFonts w:hint="default"/>
        <w:lang w:val="ru-RU" w:eastAsia="en-US" w:bidi="ar-SA"/>
      </w:rPr>
    </w:lvl>
    <w:lvl w:ilvl="2" w:tplc="5306612C">
      <w:numFmt w:val="bullet"/>
      <w:lvlText w:val="•"/>
      <w:lvlJc w:val="left"/>
      <w:pPr>
        <w:ind w:left="2391" w:hanging="178"/>
      </w:pPr>
      <w:rPr>
        <w:rFonts w:hint="default"/>
        <w:lang w:val="ru-RU" w:eastAsia="en-US" w:bidi="ar-SA"/>
      </w:rPr>
    </w:lvl>
    <w:lvl w:ilvl="3" w:tplc="50FC3092">
      <w:numFmt w:val="bullet"/>
      <w:lvlText w:val="•"/>
      <w:lvlJc w:val="left"/>
      <w:pPr>
        <w:ind w:left="3526" w:hanging="178"/>
      </w:pPr>
      <w:rPr>
        <w:rFonts w:hint="default"/>
        <w:lang w:val="ru-RU" w:eastAsia="en-US" w:bidi="ar-SA"/>
      </w:rPr>
    </w:lvl>
    <w:lvl w:ilvl="4" w:tplc="AE0C6E76">
      <w:numFmt w:val="bullet"/>
      <w:lvlText w:val="•"/>
      <w:lvlJc w:val="left"/>
      <w:pPr>
        <w:ind w:left="4662" w:hanging="178"/>
      </w:pPr>
      <w:rPr>
        <w:rFonts w:hint="default"/>
        <w:lang w:val="ru-RU" w:eastAsia="en-US" w:bidi="ar-SA"/>
      </w:rPr>
    </w:lvl>
    <w:lvl w:ilvl="5" w:tplc="2330477A">
      <w:numFmt w:val="bullet"/>
      <w:lvlText w:val="•"/>
      <w:lvlJc w:val="left"/>
      <w:pPr>
        <w:ind w:left="5797" w:hanging="178"/>
      </w:pPr>
      <w:rPr>
        <w:rFonts w:hint="default"/>
        <w:lang w:val="ru-RU" w:eastAsia="en-US" w:bidi="ar-SA"/>
      </w:rPr>
    </w:lvl>
    <w:lvl w:ilvl="6" w:tplc="63984F1E">
      <w:numFmt w:val="bullet"/>
      <w:lvlText w:val="•"/>
      <w:lvlJc w:val="left"/>
      <w:pPr>
        <w:ind w:left="6933" w:hanging="178"/>
      </w:pPr>
      <w:rPr>
        <w:rFonts w:hint="default"/>
        <w:lang w:val="ru-RU" w:eastAsia="en-US" w:bidi="ar-SA"/>
      </w:rPr>
    </w:lvl>
    <w:lvl w:ilvl="7" w:tplc="B3A2F876">
      <w:numFmt w:val="bullet"/>
      <w:lvlText w:val="•"/>
      <w:lvlJc w:val="left"/>
      <w:pPr>
        <w:ind w:left="8068" w:hanging="178"/>
      </w:pPr>
      <w:rPr>
        <w:rFonts w:hint="default"/>
        <w:lang w:val="ru-RU" w:eastAsia="en-US" w:bidi="ar-SA"/>
      </w:rPr>
    </w:lvl>
    <w:lvl w:ilvl="8" w:tplc="8D48AA46">
      <w:numFmt w:val="bullet"/>
      <w:lvlText w:val="•"/>
      <w:lvlJc w:val="left"/>
      <w:pPr>
        <w:ind w:left="9204" w:hanging="178"/>
      </w:pPr>
      <w:rPr>
        <w:rFonts w:hint="default"/>
        <w:lang w:val="ru-RU" w:eastAsia="en-US" w:bidi="ar-SA"/>
      </w:rPr>
    </w:lvl>
  </w:abstractNum>
  <w:num w:numId="1" w16cid:durableId="121157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FF"/>
    <w:rsid w:val="00083BFF"/>
    <w:rsid w:val="001B24D2"/>
    <w:rsid w:val="0023297A"/>
    <w:rsid w:val="002E6000"/>
    <w:rsid w:val="004753EA"/>
    <w:rsid w:val="006D3258"/>
    <w:rsid w:val="006D67FF"/>
    <w:rsid w:val="007E7D40"/>
    <w:rsid w:val="009A0FEA"/>
    <w:rsid w:val="009B2075"/>
    <w:rsid w:val="00A13D0C"/>
    <w:rsid w:val="00A24C85"/>
    <w:rsid w:val="00BC50A0"/>
    <w:rsid w:val="00E90837"/>
    <w:rsid w:val="00F0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019A"/>
  <w15:chartTrackingRefBased/>
  <w15:docId w15:val="{D580F899-3BF8-0F40-9E27-3BDD635A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B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B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B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B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B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B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BF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83B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B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B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BF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8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AB3ED2-A722-3342-B8F1-CDB9AC40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Каролина Зверинская</dc:creator>
  <cp:keywords/>
  <dc:description/>
  <cp:lastModifiedBy>Polina Zagorskaya</cp:lastModifiedBy>
  <cp:revision>5</cp:revision>
  <dcterms:created xsi:type="dcterms:W3CDTF">2025-11-10T12:33:00Z</dcterms:created>
  <dcterms:modified xsi:type="dcterms:W3CDTF">2025-11-12T13:32:00Z</dcterms:modified>
</cp:coreProperties>
</file>